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49" w:rsidRDefault="00447C49" w:rsidP="00447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Załącznik Nr 3  </w:t>
      </w:r>
    </w:p>
    <w:p w:rsidR="00447C49" w:rsidRPr="00447C49" w:rsidRDefault="00447C49" w:rsidP="00447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do Uchwały Nr  Projekt    </w:t>
      </w: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Rady Gminy Kulesze Kościelne</w:t>
      </w:r>
    </w:p>
    <w:p w:rsidR="00447C49" w:rsidRPr="00447C49" w:rsidRDefault="00447C49" w:rsidP="00447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z dnia ..........................................</w:t>
      </w:r>
    </w:p>
    <w:p w:rsidR="00447C49" w:rsidRPr="00447C49" w:rsidRDefault="00447C49" w:rsidP="00447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>DO WIELOLETNIEJ  PROGNOZY FINANSOWEJ GMINY KULESZE KOŚCIELNE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 NA LATA 2020-2025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 xml:space="preserve">WRAZ Z PROGNOZĄ KWOTY DŁUGU I SPŁAT ZOBOWIĄZAŃ </w:t>
      </w:r>
      <w:bookmarkStart w:id="0" w:name="_GoBack"/>
      <w:bookmarkEnd w:id="0"/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7C49">
        <w:rPr>
          <w:rFonts w:ascii="Times New Roman" w:hAnsi="Times New Roman" w:cs="Times New Roman"/>
          <w:b/>
          <w:bCs/>
          <w:sz w:val="20"/>
          <w:szCs w:val="20"/>
        </w:rPr>
        <w:t>NA LATA 2020-2025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 xml:space="preserve">        Prognoza wartości dochodów i wydatków na lata 2020-2025 poprzedzona została analizą dochodów i wydatków z lat poprzednich na podstawie sprawozdań budżetowych z lat 2018-2019. Stawki podatków i opłat lokalnych na rok 2020 przyjęte zostaną na podstawie obowiązujących stawek podatku od nieruchomości, oraz komunikatu Prezesa Głównego Urzędu Statystycznego w sprawie średniej ceny skupu żyta za okres 11  kwartałów będących podstawą do ustalenia podatku rolnego na rok 2020 i średniej ceny sprzedaży drewna, które to ceny są podstawą ustalania podatku rolnego i leśnego na 2020 rok. Od 2022 roku przyjęto prawie stałe wielkości dochodów i wydatków bieżących uznając że planowanie wyższych kwot może być obarczone dużym ryzykiem błędu . Wysokość wydatków ma ścisły związek z planem dochodów,   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 xml:space="preserve"> Na koniec 2019 r. zadłużenie wyniesie  0 zł , na koniec 2020 r –3.590.000  zł, na koniec  2021 r.- 3.447.459,64 zł ,2022 r  - 1.944.959,64 zł i 2023  - 1.294.959,64 zł.,2024 - 644.959,64  2025 -0,00 Spłatę zaciągniętego kredytu w roku 2020  planowana jest z dochodów budżetowych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>Wskaźnik  wynikający z art.243 ustawy o finansach publicznych z dnia 27 sierpnia 2009 roku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 xml:space="preserve">w 2020 i latach 2021-2025  został spełniony </w:t>
      </w:r>
    </w:p>
    <w:p w:rsidR="00447C49" w:rsidRPr="00447C49" w:rsidRDefault="00447C49" w:rsidP="00447C49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 xml:space="preserve">Gwarancji i poręczeń Gmina Kulesze Kościelne nie udzielała i nie planuje udzielać w latach następnych . </w:t>
      </w:r>
    </w:p>
    <w:p w:rsidR="00447C49" w:rsidRPr="00447C49" w:rsidRDefault="00447C49" w:rsidP="00447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C49">
        <w:rPr>
          <w:rFonts w:ascii="Times New Roman" w:hAnsi="Times New Roman" w:cs="Times New Roman"/>
          <w:sz w:val="24"/>
          <w:szCs w:val="24"/>
        </w:rPr>
        <w:t xml:space="preserve">Wieloletnich umów w tym o partnerstwie </w:t>
      </w:r>
      <w:proofErr w:type="spellStart"/>
      <w:r w:rsidRPr="00447C49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447C49">
        <w:rPr>
          <w:rFonts w:ascii="Times New Roman" w:hAnsi="Times New Roman" w:cs="Times New Roman"/>
          <w:sz w:val="24"/>
          <w:szCs w:val="24"/>
        </w:rPr>
        <w:t xml:space="preserve"> prawnym jednostka samorządu terytorialnego nie posiada. </w:t>
      </w:r>
    </w:p>
    <w:p w:rsidR="00447C49" w:rsidRPr="00447C49" w:rsidRDefault="00447C49" w:rsidP="00447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EA" w:rsidRDefault="00212CEA"/>
    <w:sectPr w:rsidR="00212CEA" w:rsidSect="00CF397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49"/>
    <w:rsid w:val="00212CEA"/>
    <w:rsid w:val="004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1</cp:revision>
  <dcterms:created xsi:type="dcterms:W3CDTF">2019-11-15T10:44:00Z</dcterms:created>
  <dcterms:modified xsi:type="dcterms:W3CDTF">2019-11-15T10:45:00Z</dcterms:modified>
</cp:coreProperties>
</file>