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42" w:rsidRPr="00AC7C42" w:rsidRDefault="00AC7C42" w:rsidP="00AC7C42">
      <w:pPr>
        <w:tabs>
          <w:tab w:val="left" w:pos="5867"/>
        </w:tabs>
        <w:autoSpaceDE w:val="0"/>
        <w:autoSpaceDN w:val="0"/>
        <w:adjustRightInd w:val="0"/>
        <w:ind w:left="5867" w:firstLine="28"/>
        <w:rPr>
          <w:rFonts w:ascii="Calibri" w:eastAsia="Arial Unicode MS" w:hAnsi="Calibri" w:cs="Calibri"/>
        </w:rPr>
      </w:pPr>
      <w:r w:rsidRPr="00AC7C42">
        <w:rPr>
          <w:rFonts w:ascii="Calibri" w:eastAsia="Arial Unicode MS" w:hAnsi="Calibri" w:cs="Calibri"/>
        </w:rPr>
        <w:t xml:space="preserve">Załącznik Nr 3 </w:t>
      </w:r>
    </w:p>
    <w:p w:rsidR="00AC7C42" w:rsidRPr="00AC7C42" w:rsidRDefault="00AC7C42" w:rsidP="00AC7C42">
      <w:pPr>
        <w:tabs>
          <w:tab w:val="left" w:pos="5867"/>
        </w:tabs>
        <w:autoSpaceDE w:val="0"/>
        <w:autoSpaceDN w:val="0"/>
        <w:adjustRightInd w:val="0"/>
        <w:ind w:left="5867" w:firstLine="28"/>
        <w:rPr>
          <w:rFonts w:ascii="Calibri" w:eastAsia="Arial Unicode MS" w:hAnsi="Calibri" w:cs="Calibri"/>
        </w:rPr>
      </w:pPr>
      <w:r w:rsidRPr="00AC7C42">
        <w:rPr>
          <w:rFonts w:ascii="Calibri" w:eastAsia="Arial Unicode MS" w:hAnsi="Calibri" w:cs="Calibri"/>
        </w:rPr>
        <w:t>do Uchwały Nr XVIII/96/2020</w:t>
      </w:r>
    </w:p>
    <w:p w:rsidR="00AC7C42" w:rsidRPr="00AC7C42" w:rsidRDefault="00AC7C42" w:rsidP="00AC7C42">
      <w:pPr>
        <w:tabs>
          <w:tab w:val="left" w:pos="5867"/>
        </w:tabs>
        <w:autoSpaceDE w:val="0"/>
        <w:autoSpaceDN w:val="0"/>
        <w:adjustRightInd w:val="0"/>
        <w:ind w:left="5867" w:firstLine="28"/>
        <w:rPr>
          <w:rFonts w:ascii="Calibri" w:eastAsia="Arial Unicode MS" w:hAnsi="Calibri" w:cs="Calibri"/>
        </w:rPr>
      </w:pPr>
      <w:r w:rsidRPr="00AC7C42">
        <w:rPr>
          <w:rFonts w:ascii="Calibri" w:eastAsia="Arial Unicode MS" w:hAnsi="Calibri" w:cs="Calibri"/>
        </w:rPr>
        <w:t>Rady Gminy Kulesze Kościelne</w:t>
      </w:r>
    </w:p>
    <w:p w:rsidR="00AC7C42" w:rsidRPr="00AC7C42" w:rsidRDefault="00AC7C42" w:rsidP="00AC7C42">
      <w:pPr>
        <w:tabs>
          <w:tab w:val="left" w:pos="5867"/>
        </w:tabs>
        <w:autoSpaceDE w:val="0"/>
        <w:autoSpaceDN w:val="0"/>
        <w:adjustRightInd w:val="0"/>
        <w:ind w:left="5867" w:firstLine="28"/>
        <w:rPr>
          <w:rFonts w:ascii="Calibri" w:eastAsia="Arial Unicode MS" w:hAnsi="Calibri" w:cs="Calibri"/>
        </w:rPr>
      </w:pPr>
      <w:r w:rsidRPr="00AC7C42">
        <w:rPr>
          <w:rFonts w:ascii="Calibri" w:eastAsia="Arial Unicode MS" w:hAnsi="Calibri" w:cs="Calibri"/>
        </w:rPr>
        <w:t>z dnia 29 grudnia 2020 r.</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Objaśnienia do Wieloletniej Prognozy Finansowej Gminy Kulesze Kościelne na lata 2021- 2027</w:t>
      </w:r>
    </w:p>
    <w:p w:rsidR="00AC7C42" w:rsidRPr="00AC7C42" w:rsidRDefault="00AC7C42" w:rsidP="00AC7C42">
      <w:pPr>
        <w:autoSpaceDE w:val="0"/>
        <w:autoSpaceDN w:val="0"/>
        <w:adjustRightInd w:val="0"/>
        <w:spacing w:after="57"/>
        <w:jc w:val="both"/>
        <w:rPr>
          <w:rFonts w:ascii="Calibri" w:eastAsia="Arial Unicode MS" w:hAnsi="Calibri" w:cs="Calibri"/>
        </w:rPr>
      </w:pPr>
      <w:r w:rsidRPr="00AC7C42">
        <w:rPr>
          <w:rFonts w:ascii="Calibri" w:eastAsia="Arial Unicode MS" w:hAnsi="Calibri" w:cs="Calibri"/>
        </w:rPr>
        <w:tab/>
        <w:t>Jako podstawę do opracowania Wieloletniej Prognozy Finansowej Gminy Kulesze Kościelne na lata 2021 - 2027  Art. 227 ust. 1 ustawy z dnia 27 sierpnia 2009 r. o finansach publicznych zakłada, iż wieloletnia prognoza finansowa obejmuje okres roku budżetowego oraz co najmniej trzech kolejnych lat budżetowych. Natomiast art. 227 ust. 2 w/w ustawy mówi, iż prognozę kwoty długu, stanowiącą integralną część wieloletniej prognozy finansowej sporządza się na okres, na który zaciągnięto lub planuje się zaciągnąć zobowiązanie. Wieloletnia Prognoza Finansowa Gminy Kulesze Kościelne została opracowana na lata 2021 - 2027 w związku z tym, iż planowane jest zaciągnięcie kredytu długoterminowego, którego planowana spłata zakończy się w roku 2027.</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W Wieloletniej Prognozie Finansowej Gminy Kulesze Kościelne na lata 2021 - 2027  założono wzrost dochodów   w latach 2022 i 2023 natomiast 2024-2027 spadek,  spadek wydatków budżetowych w latach 2022-2027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Dochody bieżące</w:t>
      </w:r>
    </w:p>
    <w:p w:rsidR="00AC7C42" w:rsidRPr="00AC7C42" w:rsidRDefault="00AC7C42" w:rsidP="00AC7C42">
      <w:pPr>
        <w:numPr>
          <w:ilvl w:val="0"/>
          <w:numId w:val="1"/>
        </w:numPr>
        <w:tabs>
          <w:tab w:val="left" w:pos="283"/>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Dochody bieżące prognozowano w podziale na:</w:t>
      </w:r>
    </w:p>
    <w:p w:rsidR="00AC7C42" w:rsidRPr="00AC7C42" w:rsidRDefault="00AC7C42" w:rsidP="00AC7C42">
      <w:pPr>
        <w:numPr>
          <w:ilvl w:val="0"/>
          <w:numId w:val="1"/>
        </w:numPr>
        <w:tabs>
          <w:tab w:val="left" w:pos="283"/>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udział w podatkach centralnych (dochodowym od osób fizycznych) ;</w:t>
      </w:r>
    </w:p>
    <w:p w:rsidR="00AC7C42" w:rsidRPr="00AC7C42" w:rsidRDefault="00AC7C42" w:rsidP="00AC7C42">
      <w:pPr>
        <w:numPr>
          <w:ilvl w:val="0"/>
          <w:numId w:val="1"/>
        </w:numPr>
        <w:tabs>
          <w:tab w:val="left" w:pos="283"/>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subwencję ogólną;</w:t>
      </w:r>
    </w:p>
    <w:p w:rsidR="00AC7C42" w:rsidRPr="00AC7C42" w:rsidRDefault="00AC7C42" w:rsidP="00AC7C42">
      <w:pPr>
        <w:numPr>
          <w:ilvl w:val="0"/>
          <w:numId w:val="1"/>
        </w:numPr>
        <w:tabs>
          <w:tab w:val="left" w:pos="283"/>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dotacje i środki przeznaczone na cele bieżące;</w:t>
      </w:r>
    </w:p>
    <w:p w:rsidR="00AC7C42" w:rsidRPr="00AC7C42" w:rsidRDefault="00AC7C42" w:rsidP="00AC7C42">
      <w:pPr>
        <w:numPr>
          <w:ilvl w:val="0"/>
          <w:numId w:val="1"/>
        </w:numPr>
        <w:tabs>
          <w:tab w:val="left" w:pos="283"/>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pozostałe dochody, w tym z podatku od nieruchomości.</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Dochody majątkowe</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Dochody majątkowe ustalono w oparciu o zawartą  umowę o dofinansowanie, która dotyczy następującego zadania inwestycyjnego:</w:t>
      </w:r>
    </w:p>
    <w:p w:rsidR="00AC7C42" w:rsidRPr="00AC7C42" w:rsidRDefault="00AC7C42" w:rsidP="00AC7C42">
      <w:pPr>
        <w:numPr>
          <w:ilvl w:val="0"/>
          <w:numId w:val="1"/>
        </w:numPr>
        <w:tabs>
          <w:tab w:val="left" w:pos="255"/>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„Utworzenie Centrum Integracji i Kultury w miejscowości Gołasze Mościckie” - zadanie realizowane w ramach Regionalnego Programu Operacyjnego Województwa Podlaskiego   na lata 2014 - 2020, Osi priorytetowej VIII Infrastruktura dla usług użyteczności publicznej, Działanie 8.6 Inwestycje na rzecz rozwoju lokalnego  - 301.263,73 zł;</w:t>
      </w:r>
    </w:p>
    <w:p w:rsidR="00AC7C42" w:rsidRPr="00AC7C42" w:rsidRDefault="00AC7C42" w:rsidP="00AC7C42">
      <w:pPr>
        <w:numPr>
          <w:ilvl w:val="0"/>
          <w:numId w:val="1"/>
        </w:numPr>
        <w:tabs>
          <w:tab w:val="left" w:pos="255"/>
          <w:tab w:val="left" w:pos="2268"/>
        </w:tabs>
        <w:autoSpaceDE w:val="0"/>
        <w:autoSpaceDN w:val="0"/>
        <w:adjustRightInd w:val="0"/>
        <w:jc w:val="both"/>
        <w:rPr>
          <w:rFonts w:ascii="Calibri" w:eastAsia="Arial Unicode MS" w:hAnsi="Calibri" w:cs="Calibri"/>
        </w:rPr>
      </w:pPr>
      <w:r w:rsidRPr="00AC7C42">
        <w:rPr>
          <w:rFonts w:ascii="Calibri" w:eastAsia="Arial Unicode MS" w:hAnsi="Calibri" w:cs="Calibri"/>
        </w:rPr>
        <w:t xml:space="preserve">sprzedaży majątku gminy - 140.000,00zł ( budynek po byłej Szkole, place wiejskie)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 xml:space="preserve"> </w:t>
      </w:r>
      <w:r w:rsidRPr="00AC7C42">
        <w:rPr>
          <w:rFonts w:ascii="Calibri" w:eastAsia="Arial Unicode MS" w:hAnsi="Calibri" w:cs="Calibri"/>
          <w:b/>
          <w:bCs/>
        </w:rPr>
        <w:t xml:space="preserve">Wydatki bieżące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 xml:space="preserve">Począwszy od 2011 roku obowiązuje reguła (art. 242 ustawy o finansach publicznych) zgodnie z którą wydatki bieżące nie mogą przekraczać dochodów bieżących.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lastRenderedPageBreak/>
        <w:t xml:space="preserve">Szczegółowy opis planowanych na 2021 rok wydatków bieżących zawarty został w projekcie budżetu Gminy Kulesze Kościelne na 2021 rok.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Wydatki majątkowe</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Zaplanowana w roku 2021 kwota wydatków majątkowych obejmuje zadania jednoroczne, oraz kontynuowane -  wieloletnie przedsięwzięcia inwestycyjne ujęte w załączniku Nr 2 do  uchwały w sprawie uchwalenia Wieloletniej Prognozy Finansowej Gminy Kulesze Kościelne na lata 2021 - 2027 tj. w Wykazie przedsięwzięć.</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Przychody, rozchody oraz kwota długu</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Spłata rat kapitałowych kredytów nie wystąpi w roku 2021. Planuje się zaciągnąć kredyt długoterminowy w wysokości 2.330.000 zł . Planowany termin spłaty rat kapitałowych powyższego kredytu to lata 2023 - 2027 . Planowana jest do zaciągnięcia pożyczka na wyprzedzające finansowanie działań finansowanych ze środków pochodzących z budżetu Unii Europejskiej w 2021 roku- 915.731,00 zł  i w roku 2022 - 989.128,00zł.</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Wynik budżetu</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W całym prognozowanym okresie spełniona jest relacja wynikająca z art. 242 ustawy o finansach publicznych w zakresie zrównoważenia dochodów i wydatków bieżących. . Dla całego okresu Wieloletniej Prognozy Finansowej zachowany został wymóg spełnienia relacji wynikającej z art. 243 ust. 1 ustawy o finansach publicznych.</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 xml:space="preserve">Planowany deficyt budżetu na 2021 r. w wysokości 3.566.112,75zł pokryty przychodami z zaciągniętych kredytów długoterminowych w wysokości 2.330.000,00 zł, zaciągniętych pożyczek  - 915.731,00 zł , nadwyżki z lat ubiegłych - 320.381,75zł. </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b/>
          <w:bCs/>
        </w:rPr>
        <w:t>Wykaz przedsięwzięć realizowanych w latach 2021-2027:</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1. Zadanie inwestycyjne "Uporządkowanie gospodarki wodno-kanalizacyjnej na terenie gminy Kulesze Kościelne " w ramach Programu Rozwoju Obszarów Wiejskich na lata 2014-2020. Planowana realizacja  zadania w latach 2019 - 2022. Wartość zadania 3.696.386,00 zł.</w:t>
      </w:r>
    </w:p>
    <w:p w:rsidR="00AC7C42" w:rsidRPr="00AC7C42" w:rsidRDefault="00AC7C42" w:rsidP="00AC7C42">
      <w:pPr>
        <w:autoSpaceDE w:val="0"/>
        <w:autoSpaceDN w:val="0"/>
        <w:adjustRightInd w:val="0"/>
        <w:jc w:val="both"/>
        <w:rPr>
          <w:rFonts w:ascii="Calibri" w:eastAsia="Arial Unicode MS" w:hAnsi="Calibri" w:cs="Calibri"/>
        </w:rPr>
      </w:pPr>
      <w:r w:rsidRPr="00AC7C42">
        <w:rPr>
          <w:rFonts w:ascii="Calibri" w:eastAsia="Arial Unicode MS" w:hAnsi="Calibri" w:cs="Calibri"/>
        </w:rPr>
        <w:t>2. Zadanie inwestycyjne "Przebudowa Szkoły Podstawowej w Kuleszach Kościelnych ". Inwestycja realizowana  z udziałem środków RFIL w latach 2019-2021wartość zadania 2.600.000,00 zł</w:t>
      </w:r>
    </w:p>
    <w:p w:rsidR="00AC7C42" w:rsidRPr="00AC7C42" w:rsidRDefault="00AC7C42" w:rsidP="00AC7C42">
      <w:pPr>
        <w:autoSpaceDE w:val="0"/>
        <w:autoSpaceDN w:val="0"/>
        <w:adjustRightInd w:val="0"/>
        <w:jc w:val="both"/>
        <w:rPr>
          <w:rFonts w:ascii="Calibri" w:eastAsia="Arial Unicode MS" w:hAnsi="Calibri" w:cs="Calibri"/>
        </w:rPr>
      </w:pPr>
    </w:p>
    <w:p w:rsidR="00AC7C42" w:rsidRPr="00AC7C42" w:rsidRDefault="00AC7C42" w:rsidP="00AC7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20" w:lineRule="atLeast"/>
        <w:rPr>
          <w:rFonts w:ascii="Calibri" w:eastAsia="Arial Unicode MS" w:hAnsi="Calibri" w:cs="Calibri"/>
        </w:rPr>
      </w:pPr>
    </w:p>
    <w:p w:rsidR="008D4B0E" w:rsidRDefault="008D4B0E">
      <w:bookmarkStart w:id="0" w:name="_GoBack"/>
      <w:bookmarkEnd w:id="0"/>
    </w:p>
    <w:sectPr w:rsidR="008D4B0E" w:rsidSect="00833FDB">
      <w:pgSz w:w="11900" w:h="16840"/>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2"/>
        <w:szCs w:val="22"/>
        <w:u w:val="none"/>
      </w:rPr>
    </w:lvl>
    <w:lvl w:ilvl="1">
      <w:start w:val="1"/>
      <w:numFmt w:val="bullet"/>
      <w:lvlText w:val=""/>
      <w:lvlJc w:val="left"/>
      <w:rPr>
        <w:rFonts w:ascii="Symbol" w:hAnsi="Symbol" w:cs="Symbol" w:hint="default"/>
        <w:b w:val="0"/>
        <w:bCs w:val="0"/>
        <w:i w:val="0"/>
        <w:iCs w:val="0"/>
        <w:strike w:val="0"/>
        <w:color w:val="auto"/>
        <w:sz w:val="22"/>
        <w:szCs w:val="22"/>
        <w:u w:val="none"/>
      </w:rPr>
    </w:lvl>
    <w:lvl w:ilvl="2">
      <w:start w:val="1"/>
      <w:numFmt w:val="bullet"/>
      <w:lvlText w:val=""/>
      <w:lvlJc w:val="left"/>
      <w:rPr>
        <w:rFonts w:ascii="Symbol" w:hAnsi="Symbol" w:cs="Symbol" w:hint="default"/>
        <w:b w:val="0"/>
        <w:bCs w:val="0"/>
        <w:i w:val="0"/>
        <w:iCs w:val="0"/>
        <w:strike w:val="0"/>
        <w:color w:val="auto"/>
        <w:sz w:val="22"/>
        <w:szCs w:val="22"/>
        <w:u w:val="none"/>
      </w:rPr>
    </w:lvl>
    <w:lvl w:ilvl="3">
      <w:start w:val="1"/>
      <w:numFmt w:val="bullet"/>
      <w:lvlText w:val=""/>
      <w:lvlJc w:val="left"/>
      <w:rPr>
        <w:rFonts w:ascii="Symbol" w:hAnsi="Symbol" w:cs="Symbol" w:hint="default"/>
        <w:b w:val="0"/>
        <w:bCs w:val="0"/>
        <w:i w:val="0"/>
        <w:iCs w:val="0"/>
        <w:strike w:val="0"/>
        <w:color w:val="auto"/>
        <w:sz w:val="22"/>
        <w:szCs w:val="22"/>
        <w:u w:val="none"/>
      </w:rPr>
    </w:lvl>
    <w:lvl w:ilvl="4">
      <w:start w:val="1"/>
      <w:numFmt w:val="bullet"/>
      <w:lvlText w:val=""/>
      <w:lvlJc w:val="left"/>
      <w:rPr>
        <w:rFonts w:ascii="Symbol" w:hAnsi="Symbol" w:cs="Symbol" w:hint="default"/>
        <w:b w:val="0"/>
        <w:bCs w:val="0"/>
        <w:i w:val="0"/>
        <w:iCs w:val="0"/>
        <w:strike w:val="0"/>
        <w:color w:val="auto"/>
        <w:sz w:val="22"/>
        <w:szCs w:val="22"/>
        <w:u w:val="none"/>
      </w:rPr>
    </w:lvl>
    <w:lvl w:ilvl="5">
      <w:start w:val="1"/>
      <w:numFmt w:val="bullet"/>
      <w:lvlText w:val=""/>
      <w:lvlJc w:val="left"/>
      <w:rPr>
        <w:rFonts w:ascii="Symbol" w:hAnsi="Symbol" w:cs="Symbol" w:hint="default"/>
        <w:b w:val="0"/>
        <w:bCs w:val="0"/>
        <w:i w:val="0"/>
        <w:iCs w:val="0"/>
        <w:strike w:val="0"/>
        <w:color w:val="auto"/>
        <w:sz w:val="22"/>
        <w:szCs w:val="22"/>
        <w:u w:val="none"/>
      </w:rPr>
    </w:lvl>
    <w:lvl w:ilvl="6">
      <w:start w:val="1"/>
      <w:numFmt w:val="bullet"/>
      <w:lvlText w:val=""/>
      <w:lvlJc w:val="left"/>
      <w:rPr>
        <w:rFonts w:ascii="Symbol" w:hAnsi="Symbol" w:cs="Symbol" w:hint="default"/>
        <w:b w:val="0"/>
        <w:bCs w:val="0"/>
        <w:i w:val="0"/>
        <w:iCs w:val="0"/>
        <w:strike w:val="0"/>
        <w:color w:val="auto"/>
        <w:sz w:val="22"/>
        <w:szCs w:val="22"/>
        <w:u w:val="none"/>
      </w:rPr>
    </w:lvl>
    <w:lvl w:ilvl="7">
      <w:start w:val="1"/>
      <w:numFmt w:val="bullet"/>
      <w:lvlText w:val=""/>
      <w:lvlJc w:val="left"/>
      <w:rPr>
        <w:rFonts w:ascii="Symbol" w:hAnsi="Symbol" w:cs="Symbol" w:hint="default"/>
        <w:b w:val="0"/>
        <w:bCs w:val="0"/>
        <w:i w:val="0"/>
        <w:iCs w:val="0"/>
        <w:strike w:val="0"/>
        <w:color w:val="auto"/>
        <w:sz w:val="22"/>
        <w:szCs w:val="22"/>
        <w:u w:val="none"/>
      </w:rPr>
    </w:lvl>
    <w:lvl w:ilvl="8">
      <w:start w:val="1"/>
      <w:numFmt w:val="bullet"/>
      <w:lvlText w:val=""/>
      <w:lvlJc w:val="left"/>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42"/>
    <w:rsid w:val="008D4B0E"/>
    <w:rsid w:val="00AC7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3575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Wierzbowska</dc:creator>
  <cp:lastModifiedBy>Krystyna Wierzbowska</cp:lastModifiedBy>
  <cp:revision>1</cp:revision>
  <dcterms:created xsi:type="dcterms:W3CDTF">2021-01-07T13:24:00Z</dcterms:created>
  <dcterms:modified xsi:type="dcterms:W3CDTF">2021-01-07T13:25:00Z</dcterms:modified>
</cp:coreProperties>
</file>