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Pogrubienie"/>
          <w:color w:val="auto"/>
          <w:sz w:val="20"/>
          <w:szCs w:val="20"/>
        </w:rPr>
      </w:pP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Pogrubienie"/>
          <w:color w:val="auto"/>
          <w:sz w:val="20"/>
          <w:szCs w:val="20"/>
        </w:rPr>
      </w:pPr>
      <w:r>
        <w:rPr>
          <w:rStyle w:val="Pogrubienie"/>
          <w:color w:val="auto"/>
          <w:sz w:val="20"/>
          <w:szCs w:val="20"/>
        </w:rPr>
        <w:t>ZARZĄDZENIE Nr 56.2020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Pogrubienie"/>
          <w:color w:val="auto"/>
          <w:sz w:val="20"/>
          <w:szCs w:val="20"/>
        </w:rPr>
      </w:pP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Pogrubienie"/>
          <w:color w:val="auto"/>
          <w:sz w:val="20"/>
          <w:szCs w:val="20"/>
        </w:rPr>
      </w:pPr>
      <w:r>
        <w:rPr>
          <w:rStyle w:val="Pogrubienie"/>
          <w:color w:val="auto"/>
          <w:sz w:val="20"/>
          <w:szCs w:val="20"/>
        </w:rPr>
        <w:t>Wójta Gminy  Kulesze Kościelne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Pogrubienie"/>
          <w:color w:val="auto"/>
        </w:rPr>
      </w:pPr>
      <w:r>
        <w:rPr>
          <w:rStyle w:val="Pogrubienie"/>
          <w:color w:val="auto"/>
          <w:sz w:val="20"/>
          <w:szCs w:val="20"/>
        </w:rPr>
        <w:t xml:space="preserve">z dnia 13 listopada 2020 roku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br/>
      </w:r>
      <w:r>
        <w:rPr>
          <w:rStyle w:val="Pogrubienie"/>
          <w:color w:val="auto"/>
        </w:rPr>
        <w:t>w sprawie: projektu  budżetu  gminy  na  2021 rok 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</w:rPr>
      </w:pP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color w:val="auto"/>
        </w:rPr>
      </w:pPr>
      <w:r>
        <w:rPr>
          <w:color w:val="auto"/>
        </w:rPr>
        <w:t xml:space="preserve"> Na podstawie art. 30 ust.2 pkt.1 ustawy z dnia 8 marca 1990r. o samorządzie gminnym (tekst jedn. Dz.U. z 2020 r. poz. 713 )  oraz art.211,art.233 i art. 238 ustawy z dnia 27 sierpnia 2009r. o  finansach publicznych (tekst jedn. Dz. U. z 2019 r. poz. 869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 ) oraz Uchwały Nr 170/XXXI/2010 Rady  Gminy Kulesze Kościelne z dnia 29 czerwca 2010r. w sprawie trybu prac nad  projektem uchwały budżetowej i szczegółowości materiałów informacyjnych towarzyszących projektowi budżetu  </w:t>
      </w:r>
      <w:r>
        <w:rPr>
          <w:rStyle w:val="Pogrubienie"/>
          <w:color w:val="auto"/>
        </w:rPr>
        <w:t xml:space="preserve">zarządzam </w:t>
      </w:r>
      <w:r>
        <w:rPr>
          <w:rStyle w:val="Pogrubienie"/>
          <w:b w:val="0"/>
          <w:bCs w:val="0"/>
          <w:color w:val="auto"/>
        </w:rPr>
        <w:t>co następuje</w:t>
      </w:r>
      <w:r>
        <w:rPr>
          <w:rStyle w:val="Pogrubienie"/>
          <w:color w:val="auto"/>
        </w:rPr>
        <w:t>: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auto"/>
        </w:rPr>
      </w:pPr>
      <w:r>
        <w:rPr>
          <w:rStyle w:val="Pogrubienie"/>
          <w:b w:val="0"/>
          <w:bCs w:val="0"/>
          <w:color w:val="auto"/>
        </w:rPr>
        <w:t>§ 1.Ustala  się: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1)  projekt  budżetu gminy na 2021 rok, w formie projektu uchwały budżetowej Rady Gminy Kulesze Kościelne  wraz z załącznikami, stanowiący załącznik Nr 1 do  niniejszego  zarządzenia .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2) uzasadnienia do projektu uchwały budżetowej zgodnie z załącznikiem Nr 2.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3) informacja o stanie mienia  gminnego  zgodnie z załącznikiem Nr 3.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 xml:space="preserve">4) informację o stanie realizacji inwestycji kontynuowanych oraz wykaz zadań planowanych  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do realizacji przy udziale środków  z UE , zgodnie z załącznikiem Nr 4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§ 2. Niniejsze Zarządzenie przedkłada się  Radzie Gminy i Regionalnej Izbie Obrachunkowej w Białymstoku  w terminie i zasadach określonych obowiązującymi przepisami.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§ 3. Zarządzenie wchodzi w życie z dniem podjęcia.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  <w:r>
        <w:rPr>
          <w:color w:val="auto"/>
        </w:rPr>
        <w:t> 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</w:rPr>
      </w:pPr>
      <w:r>
        <w:rPr>
          <w:color w:val="auto"/>
        </w:rPr>
        <w:t>                                            Wójt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</w:rPr>
      </w:pPr>
      <w:r>
        <w:rPr>
          <w:color w:val="auto"/>
        </w:rPr>
        <w:t xml:space="preserve">                                              Stefan Grodzki  </w:t>
      </w:r>
    </w:p>
    <w:p w:rsidR="00EF6839" w:rsidRDefault="00EF6839" w:rsidP="00EF6839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right"/>
        <w:rPr>
          <w:b/>
          <w:bCs/>
          <w:shd w:val="clear" w:color="auto" w:fill="FFFFFF"/>
        </w:rPr>
      </w:pP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right"/>
        <w:rPr>
          <w:sz w:val="20"/>
          <w:szCs w:val="20"/>
        </w:rPr>
      </w:pPr>
      <w:r>
        <w:lastRenderedPageBreak/>
        <w:tab/>
      </w: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Załącznik</w:t>
      </w:r>
      <w:r w:rsidR="002E75D8"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Nr 1 </w:t>
      </w: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do Zarządzenie Nr 56.2020</w:t>
      </w: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Wójta Gminy Kulesze Kościelne </w:t>
      </w: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 dnia 13 listopada 2020</w:t>
      </w: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Uchwała Nr ..............</w:t>
      </w:r>
      <w:r>
        <w:rPr>
          <w:sz w:val="24"/>
          <w:szCs w:val="24"/>
        </w:rPr>
        <w:br/>
        <w:t>Rady Gminy Kulesze Kościelne</w:t>
      </w:r>
      <w:r>
        <w:rPr>
          <w:sz w:val="24"/>
          <w:szCs w:val="24"/>
        </w:rPr>
        <w:br/>
        <w:t>z dnia ....................</w:t>
      </w:r>
      <w:r>
        <w:rPr>
          <w:sz w:val="24"/>
          <w:szCs w:val="24"/>
        </w:rPr>
        <w:br/>
        <w:t xml:space="preserve">w sprawie uchwalenia budżetu gminy Kulesze Kościelne  na rok 2021 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Na podstawie art. 18 ust. 2 pkt 4, pkt 9 lit. d oraz lit. i ustawy z dnia 8 marca 1990 r. o samorządzie gminnym (tekst jedn. Dz. U. z 2020 r. poz. 713) oraz art. 211, art. 212, art. 214, art. 215, art. 217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art. 222, art. 235, art. 236, art. 237, art. 242, </w:t>
      </w:r>
      <w:r>
        <w:rPr>
          <w:sz w:val="24"/>
          <w:szCs w:val="24"/>
        </w:rPr>
        <w:br/>
        <w:t xml:space="preserve">art. 258 oraz art. 264 ust. 3 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ustawy z dnia 27 sierpnia 2009 r. o finansach publicznych (tekst jedn. Dz. U. z 2019 r. poz. 869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b/>
          <w:bCs/>
          <w:sz w:val="24"/>
          <w:szCs w:val="24"/>
        </w:rPr>
        <w:t>Rada Gminy uchwala, co następuje: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Dochody budżetu w wysokości 16.339.263,73 zł, z tego: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1) bieżące w wysokości 15.898.000,00 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majątkowe w wysokości  441.263,73zł, zgodnie z Załącznikiem nr 1.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Wydatki budżetu w wysokości 19.905.376,48zł, z tego: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  <w:t>bieżące w wysokości 14.956.721,48zł,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majątkowe w wysokości 4.948.655,00 zł, zgodnie z Załącznikiem nr 2.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W budżecie tworzy się rezerwy: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ogólną w wysokości – 20.000,0 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celowe w wysokości – 48.000,00 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przeznaczeniem na: 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zarządzanie kryzysowe w kwocie – 48.000,00 zł,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Limity wydatków na zadania inwestycyjne realizowane w roku 2021, zgodnie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z Za</w:t>
      </w:r>
      <w:r>
        <w:rPr>
          <w:sz w:val="24"/>
          <w:szCs w:val="24"/>
        </w:rPr>
        <w:softHyphen/>
        <w:t>łącznikiem nr 3.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Wydatki na programy i projekty realizowane z udziałem środków pochodzących z Unii Europejskiej, zgodnie z Za</w:t>
      </w:r>
      <w:r>
        <w:rPr>
          <w:sz w:val="24"/>
          <w:szCs w:val="24"/>
        </w:rPr>
        <w:softHyphen/>
        <w:t>łącznikiem nr 4.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Deficyt budżetu w wysokości 3.566.112,75 zł, który zostanie pokryty przycho</w:t>
      </w:r>
      <w:r>
        <w:rPr>
          <w:sz w:val="24"/>
          <w:szCs w:val="24"/>
        </w:rPr>
        <w:softHyphen/>
        <w:t>dami pochodzącymi z: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zaciąganych kredytów w kwocie </w:t>
      </w:r>
      <w:r>
        <w:rPr>
          <w:sz w:val="24"/>
          <w:szCs w:val="24"/>
        </w:rPr>
        <w:tab/>
        <w:t xml:space="preserve"> – 2.330.000,00 zł,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zaciąganych pożyczek w kwocie </w:t>
      </w:r>
      <w:r>
        <w:rPr>
          <w:sz w:val="24"/>
          <w:szCs w:val="24"/>
        </w:rPr>
        <w:tab/>
        <w:t xml:space="preserve"> – 915.731,00 zł,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wolnych środków, jako nadwyżki środków pieniężnych na rachunku bieżącym budżetu gminy </w:t>
      </w:r>
      <w:r>
        <w:rPr>
          <w:sz w:val="24"/>
          <w:szCs w:val="24"/>
        </w:rPr>
        <w:tab/>
        <w:t xml:space="preserve"> – 320.381,75 zł,</w:t>
      </w:r>
    </w:p>
    <w:p w:rsidR="00EF6839" w:rsidRDefault="00EF6839" w:rsidP="00EF6839">
      <w:pPr>
        <w:pStyle w:val="ZalPkt2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left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Łączną kwotę przychodów budżetu w wysokości3.566.112,75 zł oraz łączną kwotę rozchodów budżetu w wysokości 0,00 zł, zgodnie z Załącznikiem nr ...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BT"/>
        <w:numPr>
          <w:ilvl w:val="0"/>
          <w:numId w:val="1"/>
        </w:numPr>
        <w:tabs>
          <w:tab w:val="left" w:pos="7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Limity zobowiązań z tytułu emisji papierów wartościowych, kredytów i pożyczek </w:t>
      </w:r>
      <w:r>
        <w:rPr>
          <w:color w:val="000000"/>
          <w:sz w:val="24"/>
          <w:szCs w:val="24"/>
        </w:rPr>
        <w:t>zaciąganych na:</w:t>
      </w:r>
    </w:p>
    <w:p w:rsidR="00EF6839" w:rsidRDefault="00EF6839" w:rsidP="00EF6839">
      <w:pPr>
        <w:pStyle w:val="ZalPkt1"/>
        <w:numPr>
          <w:ilvl w:val="0"/>
          <w:numId w:val="2"/>
        </w:numPr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sfinansowanie przejściowego deficytu budżetu </w:t>
      </w:r>
      <w:r>
        <w:rPr>
          <w:sz w:val="24"/>
          <w:szCs w:val="24"/>
        </w:rPr>
        <w:tab/>
        <w:t>– w kwocie 300.000,00 zł,</w:t>
      </w:r>
    </w:p>
    <w:p w:rsidR="00EF6839" w:rsidRDefault="00EF6839" w:rsidP="00EF6839">
      <w:pPr>
        <w:pStyle w:val="ZalPkt1"/>
        <w:tabs>
          <w:tab w:val="clear" w:pos="28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w tym na wyprzedzające finansowanie działań finansowanych ze środków pochodzących z budżetu Unii Europejskiej                      – w kwocie 0,00 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 xml:space="preserve">  sfinansowanie planowanego deficytu budżetu</w:t>
      </w:r>
      <w:r>
        <w:rPr>
          <w:color w:val="000000"/>
          <w:sz w:val="24"/>
          <w:szCs w:val="24"/>
        </w:rPr>
        <w:tab/>
        <w:t xml:space="preserve"> – w kwocie 3.245.731,00. zł,</w:t>
      </w:r>
    </w:p>
    <w:p w:rsidR="00EF6839" w:rsidRDefault="00EF6839" w:rsidP="00EF6839">
      <w:pPr>
        <w:pStyle w:val="ZalPkt1"/>
        <w:tabs>
          <w:tab w:val="clear" w:pos="28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w tym na wyprzedzające finansowanie działań finansowanych ze środków pochodzących z budżetu Unii Europejskiej                      – w kwocie 915.731,00 zł,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left"/>
        <w:rPr>
          <w:color w:val="000000"/>
          <w:sz w:val="24"/>
          <w:szCs w:val="24"/>
        </w:rPr>
      </w:pP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§ 9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Ustala się dochody w kwocie 27.000,00 zł z tytułu wydawania zezwoleń na sprze</w:t>
      </w:r>
      <w:r>
        <w:rPr>
          <w:sz w:val="24"/>
          <w:szCs w:val="24"/>
        </w:rPr>
        <w:softHyphen/>
        <w:t xml:space="preserve">daż napojów alkoholowych oraz wydatki w kwocie 27.000,00 zł na realizację zadań określonych w gminnym programie profilaktyki i rozwiązywania problemów alkoholowych. 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Ustala się wydatki w kwocie 1.000,00 zł na realizację zadań określonych w gminnym programie przeciwdziałania narkomanii.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3. Ustala się dochody w kwocie 400.000,00 zł z tytułu opłat za gospodarowanie odpadami oraz wydatki w kwocie 400.000,00 zł na pokrycie kosztów systemu </w:t>
      </w:r>
      <w:r>
        <w:rPr>
          <w:sz w:val="24"/>
          <w:szCs w:val="24"/>
        </w:rPr>
        <w:lastRenderedPageBreak/>
        <w:t xml:space="preserve">gospodarowania odpadami komunalnymi </w:t>
      </w:r>
      <w:r>
        <w:rPr>
          <w:color w:val="000000"/>
          <w:sz w:val="24"/>
          <w:szCs w:val="24"/>
        </w:rPr>
        <w:t>określonych w ustawie o utrzymaniu czystości i porządku w gminach.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  <w:t>Ustala się dochody w kwocie 10.000,00 zł i wydatki w kwocie 10.000,00 zł w związku z realizacją zadań określonych ustawą – Prawo ochrony środowiska.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both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Wyodrębnia się w budżecie kwotę 478.967,42 zł do dyspozycji sołectw zgodnie z Załącznikiem nr </w:t>
      </w:r>
      <w:r>
        <w:rPr>
          <w:i/>
          <w:iCs/>
          <w:color w:val="000000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Zestawienie planowanych kwot dotacji udzielanych z budżetu gminy, zgodnie z Załącznikiem nr 7.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F6839" w:rsidRDefault="00EF6839" w:rsidP="00EF6839">
      <w:pPr>
        <w:pStyle w:val="ZalPkt1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Upoważnia się Wójta</w:t>
      </w:r>
    </w:p>
    <w:p w:rsidR="00EF6839" w:rsidRDefault="00EF6839" w:rsidP="00EF6839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42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1) zaciągania kredytów i pożyczek oraz emisji papierów wartościowych do wysokości 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42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poszczególnych limitów zobowiązań określonych przez Radę;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42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426" w:hanging="426"/>
        <w:rPr>
          <w:sz w:val="24"/>
          <w:szCs w:val="24"/>
        </w:rPr>
      </w:pP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>2) dokonywania zmian w planie wydatków z wyłączeniem przeniesień wydat</w:t>
      </w:r>
      <w:r>
        <w:rPr>
          <w:sz w:val="24"/>
          <w:szCs w:val="24"/>
        </w:rPr>
        <w:softHyphen/>
        <w:t>ków między działami;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dokonywania zmian w planie dochodów i wydatków związanych ze: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 zmianą kwot lub uzyskaniem płatności przekazywanych z budżetu środków europejskich, o ile zmiany te nie pogorszą wyniku budżetu,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 zmianami w realizacji przedsięwzięcia finansowanego z udziałem środków europejskich albo środków, o których mowa w art. 5 ust. 1 pkt 3, o ile zmiany te nie pogorszą wyniku budżetu,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b/>
          <w:bCs/>
          <w:sz w:val="24"/>
          <w:szCs w:val="24"/>
        </w:rPr>
      </w:pPr>
      <w:r>
        <w:rPr>
          <w:sz w:val="24"/>
          <w:szCs w:val="24"/>
        </w:rPr>
        <w:t>- zwrotem płatności otrzymanych z budżetu środków europejskich,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4) przekazania kierownikom jednostek budżetowych uprawnień do dokonywania przeniesień w planie wydatków;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42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5) przekazania kierownikom innych jednostek organizacyjnych gminy uprawnień do dokonywania przeniesień w planie wydatków;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 zaciągania zobowiązań z tytułu umów, których realizacja w roku budżetowym i w latach następnych jest niezbędna dla zapewnienia ciągłości działania gminy i z których wynikające płatności wykraczają poza rok budżetowy;</w:t>
      </w:r>
    </w:p>
    <w:p w:rsidR="00EF6839" w:rsidRDefault="00EF6839" w:rsidP="00EF6839">
      <w:pPr>
        <w:pStyle w:val="ZalPkt1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7) przekazania uprawnień jednostkom organizacyjnym do zaciągania zobowiązań z tytułu umów, których realizacja w roku budżetowym i w latach następnych jest niezbędna dla zapewnienia ciągłości działania gminy i z których wynikające płatności wykraczają poza rok budżetowy, </w:t>
      </w:r>
    </w:p>
    <w:p w:rsidR="00EF6839" w:rsidRDefault="00EF6839" w:rsidP="00EF6839">
      <w:pPr>
        <w:pStyle w:val="ZalPkt1"/>
        <w:widowControl w:val="0"/>
        <w:tabs>
          <w:tab w:val="clear" w:pos="283"/>
          <w:tab w:val="clear" w:pos="340"/>
          <w:tab w:val="left" w:pos="28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before="0" w:after="0" w:line="276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8) lokowania wolnych środków budżetowych na rachunkach bankowych w innych bankach niż bank prowadzący obsługę budżetu gminy.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Wykonanie Uchwały powierza się Wójtowi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F6839" w:rsidRDefault="00EF6839" w:rsidP="00EF6839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4"/>
          <w:szCs w:val="24"/>
        </w:rPr>
      </w:pPr>
    </w:p>
    <w:p w:rsidR="00EF6839" w:rsidRDefault="00EF6839" w:rsidP="00EF6839">
      <w:pPr>
        <w:pStyle w:val="ZalBTWciety80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1 stycznia 2021 roku i podlega publikacji w Dzienniku Urzędowym Województwa podlaskiego</w:t>
      </w:r>
    </w:p>
    <w:p w:rsidR="00EF6839" w:rsidRDefault="00EF6839" w:rsidP="00EF6839">
      <w:pPr>
        <w:pStyle w:val="ZalBTWciety80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left="0"/>
        <w:jc w:val="both"/>
        <w:rPr>
          <w:sz w:val="24"/>
          <w:szCs w:val="24"/>
        </w:rPr>
      </w:pPr>
    </w:p>
    <w:p w:rsidR="00EF6839" w:rsidRDefault="00EF6839" w:rsidP="00EF6839">
      <w:pPr>
        <w:pStyle w:val="ZalBTWciety80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Przewodniczący Rady</w:t>
      </w:r>
    </w:p>
    <w:p w:rsidR="00EF6839" w:rsidRDefault="00EF6839" w:rsidP="00EF6839">
      <w:pPr>
        <w:pStyle w:val="Normal"/>
      </w:pPr>
      <w:r>
        <w:t xml:space="preserve">              </w:t>
      </w:r>
    </w:p>
    <w:p w:rsidR="00EF6839" w:rsidRDefault="00EF6839" w:rsidP="00EF6839">
      <w:pPr>
        <w:pStyle w:val="Normal"/>
      </w:pPr>
      <w:r>
        <w:t xml:space="preserve">                                                                                                   Kossakowski Grzegorz</w:t>
      </w:r>
    </w:p>
    <w:p w:rsidR="00EF6839" w:rsidRDefault="00EF6839" w:rsidP="00EF6839">
      <w:pPr>
        <w:pStyle w:val="Normal"/>
      </w:pPr>
    </w:p>
    <w:p w:rsidR="00ED72F2" w:rsidRDefault="00ED72F2"/>
    <w:sectPr w:rsidR="00ED72F2" w:rsidSect="00446CF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Letter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Letter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Letter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Letter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Letter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28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39"/>
    <w:rsid w:val="002E75D8"/>
    <w:rsid w:val="00ED72F2"/>
    <w:rsid w:val="00E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F68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EF6839"/>
    <w:rPr>
      <w:b/>
      <w:bCs/>
    </w:rPr>
  </w:style>
  <w:style w:type="paragraph" w:styleId="NormalnyWeb">
    <w:name w:val="Normal (Web)"/>
    <w:basedOn w:val="Normalny"/>
    <w:uiPriority w:val="99"/>
    <w:rsid w:val="00EF683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EF6839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EF6839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EF6839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Pkt1">
    <w:name w:val="_Zal_Pkt_1"/>
    <w:basedOn w:val="Normal"/>
    <w:uiPriority w:val="99"/>
    <w:rsid w:val="00EF6839"/>
    <w:pPr>
      <w:widowControl/>
      <w:tabs>
        <w:tab w:val="right" w:pos="283"/>
        <w:tab w:val="left" w:pos="340"/>
        <w:tab w:val="right" w:pos="9072"/>
      </w:tabs>
      <w:spacing w:before="40" w:after="40" w:line="252" w:lineRule="atLeast"/>
      <w:ind w:left="340" w:hanging="340"/>
      <w:jc w:val="both"/>
    </w:pPr>
    <w:rPr>
      <w:sz w:val="18"/>
      <w:szCs w:val="18"/>
    </w:rPr>
  </w:style>
  <w:style w:type="paragraph" w:customStyle="1" w:styleId="ZalPkt2">
    <w:name w:val="_Zal_Pkt_2"/>
    <w:basedOn w:val="Normal"/>
    <w:uiPriority w:val="99"/>
    <w:rsid w:val="00EF6839"/>
    <w:pPr>
      <w:widowControl/>
      <w:tabs>
        <w:tab w:val="right" w:pos="624"/>
        <w:tab w:val="left" w:pos="680"/>
        <w:tab w:val="right" w:pos="9072"/>
      </w:tabs>
      <w:spacing w:before="40" w:after="40" w:line="252" w:lineRule="atLeast"/>
      <w:ind w:left="680" w:hanging="340"/>
      <w:jc w:val="both"/>
    </w:pPr>
    <w:rPr>
      <w:sz w:val="18"/>
      <w:szCs w:val="18"/>
    </w:rPr>
  </w:style>
  <w:style w:type="paragraph" w:customStyle="1" w:styleId="ZalBTWciety80">
    <w:name w:val="_Zal_BT_Wciety_80"/>
    <w:basedOn w:val="Normal"/>
    <w:uiPriority w:val="99"/>
    <w:rsid w:val="00EF6839"/>
    <w:pPr>
      <w:tabs>
        <w:tab w:val="right" w:pos="9072"/>
      </w:tabs>
      <w:spacing w:before="40" w:after="40" w:line="252" w:lineRule="atLeast"/>
      <w:ind w:left="6237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F68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EF6839"/>
    <w:rPr>
      <w:b/>
      <w:bCs/>
    </w:rPr>
  </w:style>
  <w:style w:type="paragraph" w:styleId="NormalnyWeb">
    <w:name w:val="Normal (Web)"/>
    <w:basedOn w:val="Normalny"/>
    <w:uiPriority w:val="99"/>
    <w:rsid w:val="00EF683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EF6839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EF6839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EF6839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Pkt1">
    <w:name w:val="_Zal_Pkt_1"/>
    <w:basedOn w:val="Normal"/>
    <w:uiPriority w:val="99"/>
    <w:rsid w:val="00EF6839"/>
    <w:pPr>
      <w:widowControl/>
      <w:tabs>
        <w:tab w:val="right" w:pos="283"/>
        <w:tab w:val="left" w:pos="340"/>
        <w:tab w:val="right" w:pos="9072"/>
      </w:tabs>
      <w:spacing w:before="40" w:after="40" w:line="252" w:lineRule="atLeast"/>
      <w:ind w:left="340" w:hanging="340"/>
      <w:jc w:val="both"/>
    </w:pPr>
    <w:rPr>
      <w:sz w:val="18"/>
      <w:szCs w:val="18"/>
    </w:rPr>
  </w:style>
  <w:style w:type="paragraph" w:customStyle="1" w:styleId="ZalPkt2">
    <w:name w:val="_Zal_Pkt_2"/>
    <w:basedOn w:val="Normal"/>
    <w:uiPriority w:val="99"/>
    <w:rsid w:val="00EF6839"/>
    <w:pPr>
      <w:widowControl/>
      <w:tabs>
        <w:tab w:val="right" w:pos="624"/>
        <w:tab w:val="left" w:pos="680"/>
        <w:tab w:val="right" w:pos="9072"/>
      </w:tabs>
      <w:spacing w:before="40" w:after="40" w:line="252" w:lineRule="atLeast"/>
      <w:ind w:left="680" w:hanging="340"/>
      <w:jc w:val="both"/>
    </w:pPr>
    <w:rPr>
      <w:sz w:val="18"/>
      <w:szCs w:val="18"/>
    </w:rPr>
  </w:style>
  <w:style w:type="paragraph" w:customStyle="1" w:styleId="ZalBTWciety80">
    <w:name w:val="_Zal_BT_Wciety_80"/>
    <w:basedOn w:val="Normal"/>
    <w:uiPriority w:val="99"/>
    <w:rsid w:val="00EF6839"/>
    <w:pPr>
      <w:tabs>
        <w:tab w:val="right" w:pos="9072"/>
      </w:tabs>
      <w:spacing w:before="40" w:after="40" w:line="252" w:lineRule="atLeast"/>
      <w:ind w:left="6237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Krystyna Wierzbowska</cp:lastModifiedBy>
  <cp:revision>2</cp:revision>
  <cp:lastPrinted>2020-11-12T13:55:00Z</cp:lastPrinted>
  <dcterms:created xsi:type="dcterms:W3CDTF">2020-11-12T13:51:00Z</dcterms:created>
  <dcterms:modified xsi:type="dcterms:W3CDTF">2020-11-12T13:56:00Z</dcterms:modified>
</cp:coreProperties>
</file>