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38" w:rsidRPr="004F1038" w:rsidRDefault="004F1038" w:rsidP="004F1038">
      <w:pPr>
        <w:spacing w:before="100" w:beforeAutospacing="1" w:after="100" w:afterAutospacing="1" w:line="330" w:lineRule="atLeast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pl-PL"/>
        </w:rPr>
        <w:t>POSTANOWIENIE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pl-PL"/>
        </w:rPr>
        <w:t>PREZYDENTA RZECZYPOSPOLITEJ POLSKIEJ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z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dnia 17 czerwca 2015 r.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o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zarządzeniu ogólnokrajowego referendum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 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 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Na podstawie art. 125 ust. 2 Konstytucji Rzeczypospolitej Polskiej oraz art. 60 pkt 2 ustawy z dnia 14 marca 2003 r. o referendum ogólnokrajowym (Dz. U. </w:t>
      </w: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z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2015 r. poz. 318) stanowi się, co następuje: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1. Zarządzam ogólnokrajowe referendum w sprawach o szczególnym znaczeniu dla państwa.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2. Pytania w referendum mają następujące brzmienie: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Pytanie pierwsze: „Czy jest Pani/Pan za wprowadzeniem jednomandatowych okręgów wyborczych w </w:t>
      </w:r>
      <w:proofErr w:type="spell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wybo</w:t>
      </w:r>
      <w:proofErr w:type="spell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rach</w:t>
      </w:r>
      <w:proofErr w:type="spellEnd"/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do Sejmu Rzeczypospolitej Polskiej?”.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Pytanie drugie:    „Czy jest Pani/Pan za utrzymaniem dotychczasowego sposobu finansowania partii </w:t>
      </w:r>
      <w:proofErr w:type="spell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politycz</w:t>
      </w:r>
      <w:proofErr w:type="spell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nych</w:t>
      </w:r>
      <w:proofErr w:type="spell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z budżetu państwa?”.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Pytanie trzecie:   „Czy jest  Pani/Pan za  wprowadzeniem zasady ogólnej  rozstrzygania </w:t>
      </w: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wątpliwości co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 do wykładni przepisów prawa podatkowego na korzyść podatnika?”.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3. Referendum wyznacza się na dzień 6 września 2015 r.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4. Na karcie do głosowania w referendum zamieszcza się następujące wyjaśnienia dotyczące przedmiotu referendum: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„Udzielenie odpowiedzi pozytywnej „TAK” oznacza zgodę, zaś udzielenie odpowiedzi negatywnej „NIE”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oznacza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brak zgody: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1)  na wprowadzenie jednomandatowych okręgów wyborczych w wyborach do Sejmu Rzeczypospolitej Pol- </w:t>
      </w:r>
      <w:proofErr w:type="spell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skiej</w:t>
      </w:r>
      <w:proofErr w:type="spell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(odpowiedź na pytanie pierwsze);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2)  na utrzymanie dotychczasowego sposobu finansowania partii politycznych z budżetu państwa (odpowiedź na pytanie drugie);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lastRenderedPageBreak/>
        <w:t xml:space="preserve">3)  na bezpośrednie wpisanie do ustawy – Ordynacja podatkowa zasady, </w:t>
      </w:r>
      <w:proofErr w:type="gramStart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zgodnie z którą</w:t>
      </w:r>
      <w:proofErr w:type="gramEnd"/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 w przypadku istnienia wątpliwości prawnych organ zobowiązany jest wątpliwości te rozstrzygać na korzyść podatnika (odpowiedź na pytanie trzecie).”.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 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5. Kalendarz czynności związanych z przeprowadzeniem referendum stanowi załącznik do postanowienia.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§ 6. Postanowienie wchodzi w życie z dniem ogłoszenia.</w:t>
      </w:r>
    </w:p>
    <w:p w:rsidR="004F1038" w:rsidRPr="004F1038" w:rsidRDefault="004F1038" w:rsidP="004F1038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 </w:t>
      </w:r>
    </w:p>
    <w:p w:rsidR="005767BB" w:rsidRDefault="004F1038" w:rsidP="005767BB">
      <w:pPr>
        <w:spacing w:before="100" w:beforeAutospacing="1" w:after="100" w:afterAutospacing="1" w:line="330" w:lineRule="atLeast"/>
        <w:jc w:val="right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4F1038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Prezydent Rzeczypospolitej Polskiej: B. Komorowski</w:t>
      </w:r>
    </w:p>
    <w:p w:rsidR="004F1038" w:rsidRPr="004F1038" w:rsidRDefault="004F1038" w:rsidP="005767BB">
      <w:pPr>
        <w:spacing w:before="100" w:beforeAutospacing="1" w:after="100" w:afterAutospacing="1" w:line="330" w:lineRule="atLeast"/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</w:pPr>
      <w:bookmarkStart w:id="0" w:name="_GoBack"/>
      <w:bookmarkEnd w:id="0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Państwowa Komisja Wyborcza, ul. Wiejska 10, 00-902 Warszawa, Tel. 22 695 25 44, Fax. 22 622 35 71</w:t>
      </w:r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br/>
      </w:r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br/>
      </w:r>
      <w:hyperlink r:id="rId6" w:tgtFrame="_blank" w:history="1">
        <w:r w:rsidRPr="004F1038">
          <w:rPr>
            <w:rFonts w:ascii="Open Sans" w:eastAsia="Times New Roman" w:hAnsi="Open Sans" w:cs="Times New Roman"/>
            <w:color w:val="000000"/>
            <w:sz w:val="17"/>
            <w:szCs w:val="17"/>
            <w:lang w:eastAsia="pl-PL"/>
          </w:rPr>
          <w:t>www.pkw.gov.pl</w:t>
        </w:r>
      </w:hyperlink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    Biuro prasowe: biuroprasowe@pkw.</w:t>
      </w:r>
      <w:proofErr w:type="gramStart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gov</w:t>
      </w:r>
      <w:proofErr w:type="gramEnd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.</w:t>
      </w:r>
      <w:proofErr w:type="gramStart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pl</w:t>
      </w:r>
      <w:proofErr w:type="gramEnd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 xml:space="preserve">, Tel. 605 898 609 </w:t>
      </w:r>
    </w:p>
    <w:p w:rsidR="004F1038" w:rsidRPr="004F1038" w:rsidRDefault="004F1038" w:rsidP="004F1038">
      <w:pPr>
        <w:spacing w:after="0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</w:pPr>
      <w:proofErr w:type="gramStart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>wykonanie</w:t>
      </w:r>
      <w:proofErr w:type="gramEnd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 xml:space="preserve">: </w:t>
      </w:r>
      <w:hyperlink r:id="rId7" w:tgtFrame="_blank" w:history="1">
        <w:r w:rsidRPr="004F1038">
          <w:rPr>
            <w:rFonts w:ascii="Open Sans" w:eastAsia="Times New Roman" w:hAnsi="Open Sans" w:cs="Times New Roman"/>
            <w:color w:val="000000"/>
            <w:sz w:val="17"/>
            <w:szCs w:val="17"/>
            <w:lang w:eastAsia="pl-PL"/>
          </w:rPr>
          <w:t>bprog.</w:t>
        </w:r>
        <w:proofErr w:type="gramStart"/>
        <w:r w:rsidRPr="004F1038">
          <w:rPr>
            <w:rFonts w:ascii="Open Sans" w:eastAsia="Times New Roman" w:hAnsi="Open Sans" w:cs="Times New Roman"/>
            <w:color w:val="000000"/>
            <w:sz w:val="17"/>
            <w:szCs w:val="17"/>
            <w:lang w:eastAsia="pl-PL"/>
          </w:rPr>
          <w:t>pl</w:t>
        </w:r>
      </w:hyperlink>
      <w:proofErr w:type="gramEnd"/>
      <w:r w:rsidRPr="004F1038">
        <w:rPr>
          <w:rFonts w:ascii="Open Sans" w:eastAsia="Times New Roman" w:hAnsi="Open Sans" w:cs="Times New Roman"/>
          <w:color w:val="000000"/>
          <w:sz w:val="17"/>
          <w:szCs w:val="17"/>
          <w:lang w:eastAsia="pl-PL"/>
        </w:rPr>
        <w:t xml:space="preserve"> </w:t>
      </w:r>
    </w:p>
    <w:p w:rsidR="003901B3" w:rsidRDefault="003901B3"/>
    <w:sectPr w:rsidR="0039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928"/>
    <w:multiLevelType w:val="multilevel"/>
    <w:tmpl w:val="4FCE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8"/>
    <w:rsid w:val="003901B3"/>
    <w:rsid w:val="004F1038"/>
    <w:rsid w:val="005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7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pro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0</DocSecurity>
  <Lines>15</Lines>
  <Paragraphs>4</Paragraphs>
  <ScaleCrop>false</ScaleCrop>
  <Company>Kulesze Kościelne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2015-07-22T13:26:00Z</dcterms:created>
  <dcterms:modified xsi:type="dcterms:W3CDTF">2015-07-22T13:27:00Z</dcterms:modified>
</cp:coreProperties>
</file>